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5E7D1">
      <w:pPr>
        <w:pStyle w:val="2"/>
      </w:pPr>
      <w:bookmarkStart w:id="0" w:name="_Toc99378828"/>
      <w:bookmarkStart w:id="1" w:name="_Toc92900592"/>
      <w:bookmarkStart w:id="2" w:name="_Toc92793437"/>
      <w:r>
        <w:t>TỘI PHẠM QUỐC TẾ</w:t>
      </w:r>
      <w:bookmarkEnd w:id="0"/>
      <w:bookmarkEnd w:id="1"/>
      <w:bookmarkEnd w:id="2"/>
    </w:p>
    <w:p w14:paraId="66FAFC8A">
      <w:pPr>
        <w:spacing w:before="120" w:after="120" w:line="400" w:lineRule="exact"/>
        <w:ind w:firstLine="743"/>
        <w:jc w:val="both"/>
        <w:rPr>
          <w:rFonts w:eastAsia="Calibri" w:cs="Times New Roman"/>
          <w:color w:val="000000"/>
          <w:szCs w:val="28"/>
        </w:rPr>
      </w:pPr>
      <w:r>
        <w:rPr>
          <w:rFonts w:eastAsia="Calibri" w:cs="Times New Roman"/>
          <w:color w:val="000000"/>
          <w:szCs w:val="28"/>
        </w:rPr>
        <w:t xml:space="preserve">các hành động chống lại luật quốc tế, phát sinh do hành vi vi phạm nghĩa vụ của quốc gia, xâm hại nghiêm trọng đến hoà bình an ninh quốc tế. </w:t>
      </w:r>
    </w:p>
    <w:p w14:paraId="45B71C24">
      <w:pPr>
        <w:spacing w:before="120" w:after="120" w:line="400" w:lineRule="exact"/>
        <w:ind w:firstLine="743"/>
        <w:jc w:val="both"/>
        <w:rPr>
          <w:rFonts w:eastAsia="Calibri" w:cs="Times New Roman"/>
          <w:color w:val="000000"/>
          <w:szCs w:val="28"/>
        </w:rPr>
      </w:pPr>
      <w:r>
        <w:rPr>
          <w:rFonts w:eastAsia="Calibri" w:cs="Times New Roman"/>
          <w:color w:val="000000"/>
          <w:szCs w:val="28"/>
        </w:rPr>
        <w:t>Bản chất của TPQT là những hành vi xâm phạm đến hoà bình và an ninh nhân loại, đến sự tồn tại của các quốc gia trên thế giới</w:t>
      </w:r>
      <w:r>
        <w:rPr>
          <w:rFonts w:eastAsia="Calibri" w:cs="Times New Roman"/>
          <w:i/>
          <w:iCs/>
          <w:color w:val="000000"/>
          <w:szCs w:val="28"/>
        </w:rPr>
        <w:t>.</w:t>
      </w:r>
      <w:r>
        <w:rPr>
          <w:rFonts w:eastAsia="Calibri" w:cs="Times New Roman"/>
          <w:color w:val="000000"/>
          <w:szCs w:val="28"/>
        </w:rPr>
        <w:t xml:space="preserve"> Theo Quy chế Roma, </w:t>
      </w:r>
      <w:r>
        <w:rPr>
          <w:rFonts w:eastAsia="Calibri" w:cs="Times New Roman"/>
          <w:szCs w:val="28"/>
        </w:rPr>
        <w:t xml:space="preserve">TPQT bao gồm bốn loại tội: tội phạm diệt chủng (Điều 6), tội phạm chống loài người (Điều 7), tội phạm chiến tranh (Điều 8), tội xâm lược (Điều 8bis). </w:t>
      </w:r>
      <w:r>
        <w:rPr>
          <w:rFonts w:eastAsia="Calibri" w:cs="Times New Roman"/>
          <w:color w:val="000000"/>
          <w:szCs w:val="28"/>
        </w:rPr>
        <w:t>Đây là nhóm tội phạm nghiêm trọng nhất, gây lo ngại cho toàn thể cộng đồng quốc tế. Toà án hình sự quốc tế (International Criminal Court - ICC) có quyền tài phán đối với loại tội phạm này.</w:t>
      </w:r>
    </w:p>
    <w:p w14:paraId="1CBF5B09">
      <w:pPr>
        <w:spacing w:before="120" w:after="120" w:line="400" w:lineRule="exact"/>
        <w:ind w:firstLine="720"/>
        <w:jc w:val="both"/>
        <w:rPr>
          <w:rFonts w:eastAsia="Calibri" w:cs="Times New Roman"/>
          <w:color w:val="FF0000"/>
          <w:spacing w:val="-2"/>
          <w:szCs w:val="28"/>
        </w:rPr>
      </w:pPr>
      <w:r>
        <w:rPr>
          <w:rFonts w:eastAsia="Calibri" w:cs="Times New Roman"/>
          <w:color w:val="000000"/>
          <w:spacing w:val="-2"/>
          <w:szCs w:val="28"/>
        </w:rPr>
        <w:t>Trong khoa học Luật hình sự quốc tế, nghiên cứu TPQT thường gắn liền với luật hình sự quốc tế. Quan điểm phổ biến trong Luật quốc tế hiện nay chia tội phạm làm ba nhóm: TPQT, tội phạm có tính chất quốc tế và tội phạm thông thường. Tội phạm có tính quốc tế là tội phạm vừa xâm hại quan hệ xã hội được pháp luật quốc gia bảo vệ, vừa xâm hại quan hệ xã hội được Luật quốc tế bảo vệ cho nên sẽ đồng thời được ghi nhận cả trong luật hình sự quốc gia và các điều ước quốc tế. Tội phạm có tính quốc tế còn được gọi là tội phạm điều ước, được điều ước quốc tế ghi nhận nhằm hợp tác đấu tranh phòng, chống như: Tội khủng bố, buôn bán người, tội phạm ma tuý, cướp biển. Tội phạm thông thường (tội phạm hình sự chung) bao gồm tội phạm được xác định trên cơ sở luật hình sự quốc gia, không có đặc tính quốc tế (về chủ thể, hậu quả hay địa điểm thực hiện), về bản chất có thể không xâm phạm đến trật tự pháp lý quốc tế và quyền lợi của cộng đồng quốc tế. Tuy nhiên trong nhiều trường hợp, việc thực thi công lý đối với loại tội phạm này sẽ không thể thực hiện được hoặc gặp nhiều khó khăn nếu không có sự trợ giúp của các quốc gia khác. Ví dụ, sau khi thực hiện tội phạm ở một quốc gia, người phạm tội vượt biên giới, lẩn trốn ở quốc gia khác.</w:t>
      </w:r>
    </w:p>
    <w:p w14:paraId="74142675">
      <w:pPr>
        <w:spacing w:before="120" w:after="120" w:line="400" w:lineRule="exact"/>
        <w:ind w:firstLine="720"/>
        <w:jc w:val="right"/>
        <w:rPr>
          <w:rFonts w:eastAsia="Calibri" w:cs="Times New Roman"/>
          <w:b/>
          <w:bCs/>
          <w:sz w:val="24"/>
          <w:szCs w:val="24"/>
        </w:rPr>
      </w:pPr>
      <w:r>
        <w:rPr>
          <w:rFonts w:eastAsia="Calibri" w:cs="Times New Roman"/>
          <w:b/>
          <w:bCs/>
          <w:sz w:val="24"/>
          <w:szCs w:val="24"/>
        </w:rPr>
        <w:t>TRẦN ANH TUẤN</w:t>
      </w:r>
    </w:p>
    <w:p w14:paraId="44144D91">
      <w:pPr>
        <w:pStyle w:val="3"/>
      </w:pPr>
      <w:r>
        <w:t>Tài liệu tham khảo</w:t>
      </w:r>
    </w:p>
    <w:p w14:paraId="59F07F47">
      <w:pPr>
        <w:numPr>
          <w:ilvl w:val="0"/>
          <w:numId w:val="1"/>
        </w:numPr>
        <w:tabs>
          <w:tab w:val="left" w:pos="1170"/>
        </w:tabs>
        <w:spacing w:before="120" w:after="120" w:line="400" w:lineRule="exact"/>
        <w:ind w:left="0" w:firstLine="907"/>
        <w:jc w:val="both"/>
        <w:rPr>
          <w:rFonts w:eastAsia="Calibri" w:cs="Times New Roman"/>
          <w:sz w:val="24"/>
          <w:szCs w:val="24"/>
        </w:rPr>
      </w:pPr>
      <w:r>
        <w:rPr>
          <w:rFonts w:eastAsia="Calibri" w:cs="Times New Roman"/>
          <w:color w:val="000000"/>
          <w:sz w:val="24"/>
          <w:szCs w:val="24"/>
        </w:rPr>
        <w:t xml:space="preserve">Nguyễn Thị Thuận (chủ biên), </w:t>
      </w:r>
      <w:r>
        <w:rPr>
          <w:rFonts w:eastAsia="Calibri" w:cs="Times New Roman"/>
          <w:i/>
          <w:iCs/>
          <w:color w:val="000000"/>
          <w:sz w:val="24"/>
          <w:szCs w:val="24"/>
        </w:rPr>
        <w:t>Luật hình sự quốc tế</w:t>
      </w:r>
      <w:r>
        <w:rPr>
          <w:rFonts w:eastAsia="Calibri" w:cs="Times New Roman"/>
          <w:color w:val="000000"/>
          <w:sz w:val="24"/>
          <w:szCs w:val="24"/>
        </w:rPr>
        <w:t>, Nxb. Công an nhân dân, Hà Nội</w:t>
      </w:r>
      <w:r>
        <w:rPr>
          <w:rFonts w:eastAsia="Calibri" w:cs="Times New Roman"/>
          <w:color w:val="000000"/>
          <w:sz w:val="24"/>
          <w:szCs w:val="24"/>
          <w:lang w:val="vi-VN"/>
        </w:rPr>
        <w:t>, 2007</w:t>
      </w:r>
      <w:r>
        <w:rPr>
          <w:rFonts w:eastAsia="Calibri" w:cs="Times New Roman"/>
          <w:color w:val="000000"/>
          <w:sz w:val="24"/>
          <w:szCs w:val="24"/>
        </w:rPr>
        <w:t>.</w:t>
      </w:r>
    </w:p>
    <w:p w14:paraId="7A4FAB32">
      <w:pPr>
        <w:numPr>
          <w:ilvl w:val="0"/>
          <w:numId w:val="1"/>
        </w:numPr>
        <w:tabs>
          <w:tab w:val="left" w:pos="1170"/>
        </w:tabs>
        <w:spacing w:before="120" w:after="120" w:line="400" w:lineRule="exact"/>
        <w:ind w:left="0" w:firstLine="907"/>
        <w:jc w:val="both"/>
        <w:rPr>
          <w:rFonts w:eastAsia="Calibri" w:cs="Times New Roman"/>
          <w:color w:val="000000"/>
          <w:sz w:val="24"/>
          <w:szCs w:val="24"/>
        </w:rPr>
      </w:pPr>
      <w:r>
        <w:rPr>
          <w:rFonts w:eastAsia="Calibri" w:cs="Times New Roman"/>
          <w:i/>
          <w:iCs/>
          <w:color w:val="000000"/>
          <w:sz w:val="24"/>
          <w:szCs w:val="24"/>
        </w:rPr>
        <w:t>Quy chế Roma</w:t>
      </w:r>
      <w:r>
        <w:rPr>
          <w:rFonts w:eastAsia="Calibri" w:cs="Times New Roman"/>
          <w:color w:val="000000"/>
          <w:sz w:val="24"/>
          <w:szCs w:val="24"/>
        </w:rPr>
        <w:t>, Toà án hình sự ICC có quyền tài phán đối với tội phạm nghiêm trọng nhất gây lo ngại cho toàn thể cộng đồng quốc tế, như: tội ác chiến tranh; tội chống lại nhân loại, tội diệt chủng và tội xâm lược</w:t>
      </w:r>
    </w:p>
    <w:p w14:paraId="1F181668">
      <w:bookmarkStart w:id="3" w:name="_GoBack"/>
      <w:bookmarkEnd w:id="3"/>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7214E4"/>
    <w:multiLevelType w:val="multilevel"/>
    <w:tmpl w:val="477214E4"/>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25DD355A"/>
    <w:rsid w:val="46BF5B9A"/>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1</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2026-07-02T13:37:40Z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